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20182</w:t>
      </w:r>
    </w:p>
    <w:p>
      <w:pPr>
        <w:pStyle w:val="4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5079</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1</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eastAsia="宋体"/>
                <w:b/>
                <w:bCs/>
                <w:sz w:val="28"/>
                <w:lang w:val="en-US" w:eastAsia="zh-CN"/>
              </w:rPr>
            </w:pPr>
            <w:r>
              <w:rPr>
                <w:rFonts w:hint="eastAsia" w:eastAsia="宋体"/>
                <w:b/>
                <w:bCs/>
                <w:sz w:val="28"/>
                <w:lang w:val="en-US" w:eastAsia="zh-CN"/>
              </w:rPr>
              <w:t>17.15.0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4" w:name="_Hlt497126619"/>
            <w:r>
              <w:rPr>
                <w:rStyle w:val="73"/>
                <w:rFonts w:cs="Arial"/>
                <w:b/>
                <w:i/>
                <w:color w:val="FF0000"/>
              </w:rPr>
              <w:t>L</w:t>
            </w:r>
            <w:bookmarkEnd w:id="4"/>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lang w:val="en-US" w:eastAsia="zh-CN"/>
              </w:rPr>
            </w:pPr>
            <w:bookmarkStart w:id="5" w:name="OLE_LINK1"/>
            <w:r>
              <w:rPr>
                <w:rFonts w:eastAsia="宋体"/>
                <w:lang w:val="en-US" w:eastAsia="zh-CN"/>
              </w:rPr>
              <w:t>(</w:t>
            </w:r>
            <w:r>
              <w:rPr>
                <w:rFonts w:ascii="Arial" w:hAnsi="Arial" w:cs="Arial"/>
                <w:sz w:val="18"/>
                <w:szCs w:val="18"/>
                <w:lang w:eastAsia="ja-JP"/>
              </w:rPr>
              <w:t>NR_NTN_solutions-Core</w:t>
            </w:r>
            <w:r>
              <w:rPr>
                <w:rFonts w:eastAsia="宋体"/>
                <w:lang w:val="en-US" w:eastAsia="ja-JP"/>
              </w:rPr>
              <w:t>)</w:t>
            </w:r>
            <w:r>
              <w:rPr>
                <w:rFonts w:hint="eastAsia" w:eastAsia="宋体"/>
                <w:lang w:val="en-US" w:eastAsia="zh-CN"/>
              </w:rPr>
              <w:t xml:space="preserve"> Modify </w:t>
            </w:r>
            <w:r>
              <w:rPr>
                <w:rFonts w:eastAsia="宋体"/>
                <w:lang w:val="en-US" w:eastAsia="zh-CN"/>
              </w:rPr>
              <w:t>NR NTN cell re-selection measurement in RRC I</w:t>
            </w:r>
            <w:r>
              <w:rPr>
                <w:rFonts w:hint="eastAsia" w:eastAsia="宋体"/>
                <w:lang w:val="en-US" w:eastAsia="zh-CN"/>
              </w:rPr>
              <w:t>DLE state.</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eastAsia="宋体"/>
                <w:lang w:val="en-US" w:eastAsia="zh-CN"/>
              </w:rPr>
            </w:pPr>
            <w:r>
              <w:rPr>
                <w:rFonts w:hint="eastAsia" w:eastAsia="宋体"/>
                <w:lang w:val="en-US" w:eastAsia="zh-CN"/>
              </w:rPr>
              <w:t>ZTE</w:t>
            </w:r>
            <w:r>
              <w:rPr>
                <w:rFonts w:eastAsia="宋体"/>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eastAsia="宋体"/>
                <w:lang w:val="en-US" w:eastAsia="zh-CN"/>
              </w:rPr>
              <w:t>4</w:t>
            </w:r>
            <w:r>
              <w:t>-</w:t>
            </w:r>
            <w:r>
              <w:rPr>
                <w:rFonts w:hint="eastAsia" w:eastAsia="宋体"/>
                <w:lang w:val="en-US" w:eastAsia="zh-CN"/>
              </w:rPr>
              <w:t>11</w:t>
            </w:r>
            <w:r>
              <w:t>-</w:t>
            </w:r>
            <w:r>
              <w:rPr>
                <w:rFonts w:hint="eastAsia" w:eastAsia="宋体"/>
                <w:lang w:val="en-US" w:eastAsia="zh-CN"/>
              </w:rPr>
              <w:t>22</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hint="eastAsia" w:ascii="Arial" w:hAnsi="Arial" w:eastAsia="宋体"/>
                <w:lang w:val="en-US" w:eastAsia="zh-CN"/>
              </w:rPr>
              <w:t>In TS38.133, some NR NTN cell re-selection measurement in RRC IDLE state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eastAsia="宋体"/>
                <w:lang w:val="en-US" w:eastAsia="zh-CN"/>
              </w:rPr>
            </w:pPr>
            <w:r>
              <w:rPr>
                <w:rFonts w:hint="eastAsia" w:eastAsia="宋体"/>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lang w:val="en-US" w:eastAsia="zh-CN"/>
              </w:rPr>
            </w:pPr>
            <w:r>
              <w:rPr>
                <w:rFonts w:hint="eastAsia" w:eastAsia="宋体"/>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4.2C.2.3, 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5"/>
        <w:rPr>
          <w:lang w:val="en-US"/>
        </w:rPr>
      </w:pPr>
      <w:r>
        <w:rPr>
          <w:lang w:val="en-US"/>
        </w:rPr>
        <w:t>4.2C.2.3</w:t>
      </w:r>
      <w:r>
        <w:rPr>
          <w:lang w:val="en-US"/>
        </w:rPr>
        <w:tab/>
      </w:r>
      <w:r>
        <w:rPr>
          <w:lang w:val="en-US"/>
        </w:rPr>
        <w:t>Measurements of intra-frequency NR cells</w:t>
      </w:r>
    </w:p>
    <w:p>
      <w:r>
        <w:t>The UE shall be able to identify new intra-frequency cells and perform SS-RSRP and SS-RSRQ measurements of the identified intra-frequency cells without an explicit intra-frequency neighbour list containing physical layer cell identities.</w:t>
      </w:r>
    </w:p>
    <w:p>
      <w:r>
        <w:t xml:space="preserve">If Srxlev &gt; SIntraSearchP and Squal &gt; SIntraSearchQ,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isnot required to perform measurement of intra-frequency.</w:t>
      </w:r>
    </w:p>
    <w:p>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ins w:id="0" w:author="ZTE Derrick meeting-pre" w:date="2024-11-07T16:14:56Z">
        <w:r>
          <w:rPr>
            <w:rFonts w:cs="v4.2.0"/>
            <w:i w:val="0"/>
            <w:iCs/>
            <w:highlight w:val="none"/>
          </w:rPr>
          <w:t>Enhanced RRM requirements for measurements in IDLE and INACTIVE modes</w:t>
        </w:r>
      </w:ins>
      <w:ins w:id="1" w:author="ZTE Derrick meeting-pre" w:date="2024-11-07T16:14:56Z">
        <w:r>
          <w:rPr>
            <w:rFonts w:cs="v4.2.0"/>
            <w:highlight w:val="none"/>
          </w:rPr>
          <w:t xml:space="preserve"> defined in </w:t>
        </w:r>
      </w:ins>
      <w:ins w:id="2" w:author="ZTE Derrick meeting-pre" w:date="2024-11-07T16:14:56Z">
        <w:r>
          <w:rPr>
            <w:highlight w:val="none"/>
          </w:rPr>
          <w:t>TS38.306 [14]</w:t>
        </w:r>
      </w:ins>
      <w:del w:id="3" w:author="ZTE Derrick meeting-pre" w:date="2024-11-07T16:14:56Z">
        <w:r>
          <w:rPr>
            <w:rFonts w:cs="v4.2.0"/>
          </w:rPr>
          <w:delText xml:space="preserve">the feature for enhanced RRM requirements defined in </w:delText>
        </w:r>
      </w:del>
      <w:del w:id="4" w:author="ZTE Derrick meeting-pre" w:date="2024-11-07T16:14:56Z">
        <w:r>
          <w:rPr/>
          <w:delText>TS38.306 [14]</w:delText>
        </w:r>
      </w:del>
      <w:r>
        <w:t xml:space="preserve">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ins w:id="5" w:author="ZTE Derrick meeting-pre" w:date="2024-11-07T16:15:08Z">
        <w:r>
          <w:rPr>
            <w:rFonts w:cs="v4.2.0"/>
            <w:i w:val="0"/>
            <w:iCs/>
            <w:highlight w:val="none"/>
          </w:rPr>
          <w:t>Enhanced RRM requirements for measurements in IDLE and INACTIVE modes</w:t>
        </w:r>
      </w:ins>
      <w:ins w:id="6" w:author="ZTE Derrick meeting-pre" w:date="2024-11-07T16:15:08Z">
        <w:r>
          <w:rPr>
            <w:rFonts w:cs="v4.2.0"/>
            <w:highlight w:val="none"/>
          </w:rPr>
          <w:t xml:space="preserve"> defined in </w:t>
        </w:r>
      </w:ins>
      <w:ins w:id="7" w:author="ZTE Derrick meeting-pre" w:date="2024-11-07T16:15:08Z">
        <w:r>
          <w:rPr>
            <w:highlight w:val="none"/>
          </w:rPr>
          <w:t>TS38.306 [14]</w:t>
        </w:r>
      </w:ins>
      <w:del w:id="8" w:author="ZTE Derrick meeting-pre" w:date="2024-11-07T16:15:08Z">
        <w:r>
          <w:rPr>
            <w:rFonts w:cs="v4.2.0"/>
          </w:rPr>
          <w:delText xml:space="preserve">the feature for enhanced RRM requirements defined in </w:delText>
        </w:r>
      </w:del>
      <w:del w:id="9" w:author="ZTE Derrick meeting-pre" w:date="2024-11-07T16:15:08Z">
        <w:r>
          <w:rPr/>
          <w:delText>TS38.306 [14]</w:delText>
        </w:r>
      </w:del>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ins w:id="10" w:author="ZTE Derrick meeting-pre" w:date="2024-11-07T16:15:15Z">
        <w:r>
          <w:rPr>
            <w:rFonts w:cs="v4.2.0"/>
            <w:i w:val="0"/>
            <w:iCs/>
            <w:highlight w:val="none"/>
          </w:rPr>
          <w:t>Enhanced RRM requirements for measurements in IDLE and INACTIVE modes</w:t>
        </w:r>
      </w:ins>
      <w:ins w:id="11" w:author="ZTE Derrick meeting-pre" w:date="2024-11-07T16:15:15Z">
        <w:r>
          <w:rPr>
            <w:rFonts w:cs="v4.2.0"/>
            <w:highlight w:val="none"/>
          </w:rPr>
          <w:t xml:space="preserve"> defined in </w:t>
        </w:r>
      </w:ins>
      <w:ins w:id="12" w:author="ZTE Derrick meeting-pre" w:date="2024-11-07T16:15:15Z">
        <w:r>
          <w:rPr>
            <w:highlight w:val="none"/>
          </w:rPr>
          <w:t>TS38.306 [14]</w:t>
        </w:r>
      </w:ins>
      <w:del w:id="13" w:author="ZTE Derrick meeting-pre" w:date="2024-11-07T16:15:15Z">
        <w:r>
          <w:rPr>
            <w:rFonts w:cs="v4.2.0"/>
          </w:rPr>
          <w:delText xml:space="preserve">the feature for enhanced RRM requirements defined in </w:delText>
        </w:r>
      </w:del>
      <w:del w:id="14" w:author="ZTE Derrick meeting-pre" w:date="2024-11-07T16:15:15Z">
        <w:r>
          <w:rPr/>
          <w:delText>TS38.306 [14]</w:delText>
        </w:r>
      </w:del>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ins w:id="15" w:author="ZTE Derrick meeting-pre" w:date="2024-11-07T16:15:20Z">
        <w:r>
          <w:rPr>
            <w:rFonts w:cs="v4.2.0"/>
            <w:i w:val="0"/>
            <w:iCs/>
            <w:highlight w:val="none"/>
          </w:rPr>
          <w:t>Enhanced RRM requirements for measurements in IDLE and INACTIVE modes</w:t>
        </w:r>
      </w:ins>
      <w:ins w:id="16" w:author="ZTE Derrick meeting-pre" w:date="2024-11-07T16:15:20Z">
        <w:r>
          <w:rPr>
            <w:rFonts w:cs="v4.2.0"/>
            <w:highlight w:val="none"/>
          </w:rPr>
          <w:t xml:space="preserve"> defined in </w:t>
        </w:r>
      </w:ins>
      <w:ins w:id="17" w:author="ZTE Derrick meeting-pre" w:date="2024-11-07T16:15:20Z">
        <w:r>
          <w:rPr>
            <w:highlight w:val="none"/>
          </w:rPr>
          <w:t>TS38.306 [14]</w:t>
        </w:r>
      </w:ins>
      <w:del w:id="18" w:author="ZTE Derrick meeting-pre" w:date="2024-11-07T16:15:20Z">
        <w:r>
          <w:rPr>
            <w:rFonts w:cs="v4.2.0"/>
          </w:rPr>
          <w:delText xml:space="preserve">the feature for enhanced RRM requirements defined in </w:delText>
        </w:r>
      </w:del>
      <w:del w:id="19" w:author="ZTE Derrick meeting-pre" w:date="2024-11-07T16:15:20Z">
        <w:r>
          <w:rPr/>
          <w:delText>TS38.306 [14]</w:delText>
        </w:r>
      </w:del>
      <w:r>
        <w:rPr>
          <w:rFonts w:cs="v4.2.0"/>
        </w:rPr>
        <w:t xml:space="preserve">  and the </w:t>
      </w:r>
      <w:r>
        <w:rPr>
          <w:i/>
        </w:rPr>
        <w:t>enhancedMeasurementNGSO-r17</w:t>
      </w:r>
      <w:r>
        <w:rPr>
          <w:rFonts w:cs="v4.2.0"/>
        </w:rPr>
        <w:t xml:space="preserve"> is enabled, for intra-frequency cells that are identified and measured according to the measurement rules.</w:t>
      </w:r>
    </w:p>
    <w:p>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pStyle w:val="105"/>
      </w:pPr>
      <w:r>
        <w:tab/>
      </w:r>
      <w:r>
        <w:t>If SMTCs do not overlap with each other,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105"/>
      </w:pPr>
      <w:r>
        <w:t>-</w:t>
      </w:r>
      <w:r>
        <w:tab/>
      </w:r>
      <w:r>
        <w:t>If SMTCs partially overlap with each other,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105"/>
      </w:pPr>
      <w:r>
        <w:rPr>
          <w:rFonts w:hint="eastAsia"/>
        </w:rPr>
        <w:t>w</w:t>
      </w:r>
      <w:r>
        <w:t>here</w:t>
      </w:r>
    </w:p>
    <w:p>
      <w:pPr>
        <w:pStyle w:val="105"/>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pStyle w:val="105"/>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w:p>
    <w:p>
      <w:pPr>
        <w:pStyle w:val="105"/>
        <w:rPr>
          <w:rFonts w:cs="v4.2.0"/>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s the number of SMTCs that partially overlap with each other.</w:t>
      </w:r>
    </w:p>
    <w:p>
      <w:pPr>
        <w:pStyle w:val="86"/>
      </w:pPr>
      <w:r>
        <w:rPr>
          <w:rFonts w:hint="eastAsia"/>
        </w:rPr>
        <w:t>N</w:t>
      </w:r>
      <w:r>
        <w:t>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ins w:id="20" w:author="ZTE Derrick meeting-pre" w:date="2024-11-07T16:15:37Z">
        <w:r>
          <w:rPr>
            <w:rFonts w:cs="v4.2.0"/>
            <w:i w:val="0"/>
            <w:iCs/>
            <w:highlight w:val="none"/>
          </w:rPr>
          <w:t>Enhanced RRM requirements for measurements in IDLE and INACTIVE modes</w:t>
        </w:r>
      </w:ins>
      <w:ins w:id="21" w:author="ZTE Derrick meeting-pre" w:date="2024-11-07T16:15:37Z">
        <w:r>
          <w:rPr>
            <w:rFonts w:cs="v4.2.0"/>
            <w:highlight w:val="none"/>
          </w:rPr>
          <w:t xml:space="preserve"> defined in </w:t>
        </w:r>
      </w:ins>
      <w:ins w:id="22" w:author="ZTE Derrick meeting-pre" w:date="2024-11-07T16:15:37Z">
        <w:r>
          <w:rPr>
            <w:highlight w:val="none"/>
          </w:rPr>
          <w:t>TS38.306 [14]</w:t>
        </w:r>
      </w:ins>
      <w:del w:id="23" w:author="ZTE Derrick meeting-pre" w:date="2024-11-07T16:15:37Z">
        <w:r>
          <w:rPr>
            <w:rFonts w:cs="v4.2.0"/>
          </w:rPr>
          <w:delText xml:space="preserve">the feature for enhanced RRM requirements defined in </w:delText>
        </w:r>
      </w:del>
      <w:del w:id="24" w:author="ZTE Derrick meeting-pre" w:date="2024-11-07T16:15:37Z">
        <w:r>
          <w:rPr/>
          <w:delText>TS38.306 [14]</w:delText>
        </w:r>
      </w:del>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ins w:id="25" w:author="ZTE Derrick meeting-pre" w:date="2024-11-07T16:15:46Z">
        <w:r>
          <w:rPr>
            <w:rFonts w:cs="v4.2.0"/>
            <w:i w:val="0"/>
            <w:iCs/>
            <w:highlight w:val="none"/>
          </w:rPr>
          <w:t>Enhanced RRM requirements for measurements in IDLE and INACTIVE modes</w:t>
        </w:r>
      </w:ins>
      <w:ins w:id="26" w:author="ZTE Derrick meeting-pre" w:date="2024-11-07T16:15:46Z">
        <w:r>
          <w:rPr>
            <w:rFonts w:cs="v4.2.0"/>
            <w:highlight w:val="none"/>
          </w:rPr>
          <w:t xml:space="preserve"> defined in </w:t>
        </w:r>
      </w:ins>
      <w:ins w:id="27" w:author="ZTE Derrick meeting-pre" w:date="2024-11-07T16:15:46Z">
        <w:r>
          <w:rPr>
            <w:highlight w:val="none"/>
          </w:rPr>
          <w:t>TS38.306 [14]</w:t>
        </w:r>
      </w:ins>
      <w:del w:id="28" w:author="ZTE Derrick meeting-pre" w:date="2024-11-07T16:15:46Z">
        <w:r>
          <w:rPr>
            <w:rFonts w:cs="v4.2.0"/>
          </w:rPr>
          <w:delText xml:space="preserve">the feature for enhanced RRM requirements defined in </w:delText>
        </w:r>
      </w:del>
      <w:del w:id="29" w:author="ZTE Derrick meeting-pre" w:date="2024-11-07T16:15:46Z">
        <w:r>
          <w:rPr/>
          <w:delText>TS38.306 [14]</w:delText>
        </w:r>
      </w:del>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105"/>
      </w:pPr>
      <w:r>
        <w:t>-</w:t>
      </w:r>
      <w:r>
        <w:tab/>
      </w:r>
      <w:r>
        <w:t xml:space="preserve">when </w:t>
      </w:r>
      <w:r>
        <w:rPr>
          <w:i/>
        </w:rPr>
        <w:t>rangeToBestCell</w:t>
      </w:r>
      <w:r>
        <w:t xml:space="preserve"> is not configured:</w:t>
      </w:r>
    </w:p>
    <w:p>
      <w:pPr>
        <w:pStyle w:val="105"/>
      </w:pPr>
      <w:r>
        <w:t>-</w:t>
      </w:r>
      <w:r>
        <w:tab/>
      </w:r>
      <w:r>
        <w:t>the cell is at least 3dB better ranked in FR1 or 4.5dB better ranked in FR2.</w:t>
      </w:r>
    </w:p>
    <w:p>
      <w:pPr>
        <w:pStyle w:val="105"/>
      </w:pPr>
      <w:r>
        <w:t>-</w:t>
      </w:r>
      <w:r>
        <w:tab/>
      </w:r>
      <w:r>
        <w:t xml:space="preserve">when </w:t>
      </w:r>
      <w:r>
        <w:rPr>
          <w:i/>
        </w:rPr>
        <w:t>rangeToBestCell</w:t>
      </w:r>
      <w:r>
        <w:t xml:space="preserve"> is configured:</w:t>
      </w:r>
    </w:p>
    <w:p>
      <w:pPr>
        <w:pStyle w:val="105"/>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pPr>
        <w:pStyle w:val="106"/>
      </w:pPr>
      <w:r>
        <w:t>-</w:t>
      </w:r>
      <w:r>
        <w:tab/>
      </w:r>
      <w:r>
        <w:t xml:space="preserve">if there are multiple such cells, the cell has the highest rank among them. </w:t>
      </w:r>
    </w:p>
    <w:p>
      <w:pPr>
        <w:pStyle w:val="10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pPr>
        <w:pStyle w:val="85"/>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snapToGrid w:val="0"/>
              </w:rPr>
            </w:pPr>
            <w:r>
              <w:rPr>
                <w:snapToGrid w:val="0"/>
              </w:rPr>
              <w:t>Note 1</w:t>
            </w:r>
            <w:r>
              <w:t>:</w:t>
            </w:r>
            <w:r>
              <w:rPr>
                <w:lang w:val="en-US"/>
              </w:rPr>
              <w:tab/>
            </w:r>
            <w:r>
              <w:rPr>
                <w:lang w:val="en-US"/>
              </w:rPr>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pPr>
              <w:pStyle w:val="96"/>
            </w:pPr>
            <w:r>
              <w:rPr>
                <w:snapToGrid w:val="0"/>
              </w:rPr>
              <w:t>Note 2:</w:t>
            </w:r>
            <w:r>
              <w:t xml:space="preserve"> </w:t>
            </w:r>
            <w:r>
              <w:tab/>
            </w:r>
            <w:r>
              <w:t>The UE is not required to meet the requirements for 2.56s DRX cycle length for earth-moving LEO deployment.</w:t>
            </w:r>
          </w:p>
        </w:tc>
      </w:tr>
    </w:tbl>
    <w:p/>
    <w:p>
      <w:pPr>
        <w:pStyle w:val="8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rPr>
            </w:pPr>
            <w:r>
              <w:t>Note 1:</w:t>
            </w:r>
            <w:r>
              <w:rPr>
                <w:rFonts w:eastAsia="CG Times (WN)"/>
                <w:lang w:val="en-US"/>
              </w:rPr>
              <w:tab/>
            </w:r>
            <w:r>
              <w:t>When SMTC &lt; = 40 ms, M2 = M3 = M4 = 1; and when SMTC &gt; 40 ms, M2 = 2, M3 = M4 = 2.5</w:t>
            </w:r>
          </w:p>
        </w:tc>
      </w:tr>
    </w:tbl>
    <w:p/>
    <w:p>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rPr>
        <w:t>T</w:t>
      </w:r>
      <w:r>
        <w:rPr>
          <w:szCs w:val="24"/>
          <w:vertAlign w:val="subscript"/>
        </w:rPr>
        <w:t>trigger</w:t>
      </w:r>
      <w:r>
        <w:t>.</w:t>
      </w:r>
    </w:p>
    <w:p>
      <w:pPr>
        <w:pStyle w:val="92"/>
      </w:pPr>
      <w:r>
        <w:tab/>
      </w:r>
      <w:r>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r>
        <w:rPr>
          <w:szCs w:val="24"/>
        </w:rPr>
        <w:t>where</w:t>
      </w:r>
    </w:p>
    <w:p>
      <w:pPr>
        <w:pStyle w:val="105"/>
      </w:pPr>
      <w:r>
        <w:t>-</w:t>
      </w:r>
      <w:r>
        <w:tab/>
      </w:r>
      <w:r>
        <w:t>K</w:t>
      </w:r>
      <w:r>
        <w:rPr>
          <w:vertAlign w:val="subscript"/>
        </w:rPr>
        <w:t>carrier</w:t>
      </w:r>
      <w:r>
        <w:t xml:space="preserve"> is the number of NR inter-frequency carriers indicated by the serving cell,</w:t>
      </w:r>
    </w:p>
    <w:p>
      <w:pPr>
        <w:pStyle w:val="105"/>
      </w:pPr>
      <w:r>
        <w:t>-</w:t>
      </w:r>
      <w:r>
        <w:tab/>
      </w:r>
      <w:r>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pPr>
        <w:pStyle w:val="105"/>
      </w:pPr>
      <w:r>
        <w:t>-</w:t>
      </w:r>
      <w:r>
        <w:tab/>
      </w:r>
      <w:r>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5"/>
        <w:tabs>
          <w:tab w:val="left" w:pos="2000"/>
        </w:tabs>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Pr>
        <w:pStyle w:val="5"/>
        <w:rPr>
          <w:lang w:val="en-US"/>
        </w:rPr>
      </w:pPr>
      <w:r>
        <w:rPr>
          <w:lang w:val="en-US"/>
        </w:rPr>
        <w:t>4.2C.2.4</w:t>
      </w:r>
      <w:r>
        <w:rPr>
          <w:lang w:val="en-US"/>
        </w:rPr>
        <w:tab/>
      </w:r>
      <w:r>
        <w:rPr>
          <w:lang w:val="en-US"/>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w:t>
      </w:r>
      <w:ins w:id="30" w:author="ZTE Derrick meeting-pre" w:date="2024-11-07T16:16:21Z">
        <w:r>
          <w:rPr>
            <w:rFonts w:cs="v4.2.0"/>
            <w:i w:val="0"/>
            <w:iCs/>
            <w:highlight w:val="none"/>
          </w:rPr>
          <w:t>Enhanced RRM requirements for measurements in IDLE and INACTIVE</w:t>
        </w:r>
      </w:ins>
      <w:ins w:id="31" w:author="ZTE Derrick meeting-pre" w:date="2024-11-07T16:16:21Z">
        <w:r>
          <w:rPr>
            <w:rFonts w:cs="v4.2.0"/>
            <w:i/>
            <w:highlight w:val="none"/>
          </w:rPr>
          <w:t xml:space="preserve"> modes</w:t>
        </w:r>
      </w:ins>
      <w:ins w:id="32" w:author="ZTE Derrick meeting-pre" w:date="2024-11-07T16:16:21Z">
        <w:r>
          <w:rPr>
            <w:rFonts w:cs="v4.2.0"/>
            <w:highlight w:val="none"/>
          </w:rPr>
          <w:t xml:space="preserve"> defined in </w:t>
        </w:r>
      </w:ins>
      <w:ins w:id="33" w:author="ZTE Derrick meeting-pre" w:date="2024-11-07T16:16:21Z">
        <w:r>
          <w:rPr>
            <w:highlight w:val="none"/>
          </w:rPr>
          <w:t>TS38.306 [14]</w:t>
        </w:r>
      </w:ins>
      <w:del w:id="34" w:author="ZTE Derrick meeting-pre" w:date="2024-11-07T16:16:21Z">
        <w:r>
          <w:rPr>
            <w:rFonts w:cs="v4.2.0"/>
          </w:rPr>
          <w:delText xml:space="preserve">the feature for enhanced RRM requirements defined in </w:delText>
        </w:r>
      </w:del>
      <w:del w:id="35" w:author="ZTE Derrick meeting-pre" w:date="2024-11-07T16:16:21Z">
        <w:r>
          <w:rPr/>
          <w:delText>TS38.306 [14]</w:delText>
        </w:r>
      </w:del>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cs="v4.2.0"/>
        </w:rPr>
        <w:t xml:space="preserve"> if the UE supports </w:t>
      </w:r>
      <w:ins w:id="36" w:author="ZTE Derrick meeting-pre" w:date="2024-11-07T16:16:27Z">
        <w:r>
          <w:rPr>
            <w:rFonts w:cs="v4.2.0"/>
            <w:i w:val="0"/>
            <w:iCs/>
            <w:highlight w:val="none"/>
          </w:rPr>
          <w:t>Enhanced RRM requirements for measurements in IDLE and INACTIVE modes</w:t>
        </w:r>
      </w:ins>
      <w:ins w:id="37" w:author="ZTE Derrick meeting-pre" w:date="2024-11-07T16:16:27Z">
        <w:r>
          <w:rPr>
            <w:rFonts w:cs="v4.2.0"/>
            <w:highlight w:val="none"/>
          </w:rPr>
          <w:t xml:space="preserve"> defined in </w:t>
        </w:r>
      </w:ins>
      <w:ins w:id="38" w:author="ZTE Derrick meeting-pre" w:date="2024-11-07T16:16:27Z">
        <w:r>
          <w:rPr>
            <w:highlight w:val="none"/>
          </w:rPr>
          <w:t>TS38.306 [14]</w:t>
        </w:r>
      </w:ins>
      <w:del w:id="39" w:author="ZTE Derrick meeting-pre" w:date="2024-11-07T16:16:27Z">
        <w:r>
          <w:rPr>
            <w:rFonts w:cs="v4.2.0"/>
          </w:rPr>
          <w:delText xml:space="preserve">the feature for enhanced RRM requirements defined in </w:delText>
        </w:r>
      </w:del>
      <w:del w:id="40" w:author="ZTE Derrick meeting-pre" w:date="2024-11-07T16:16:27Z">
        <w:r>
          <w:rPr/>
          <w:delText>TS38.306 [14]</w:delText>
        </w:r>
      </w:del>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pPr>
      <w:r>
        <w:rPr>
          <w:rFonts w:hint="eastAsia"/>
        </w:rPr>
        <w:t>w</w:t>
      </w:r>
      <w:r>
        <w:t>here</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 xml:space="preserve">s the number of SMTCs that partially overlap with each other. </w:t>
      </w:r>
    </w:p>
    <w:p>
      <w:pPr>
        <w:pStyle w:val="86"/>
      </w:pPr>
      <w:r>
        <w:rPr>
          <w:rFonts w:hint="eastAsia"/>
        </w:rPr>
        <w:t>N</w:t>
      </w:r>
      <w:r>
        <w:t>ote: for deriving K</w:t>
      </w:r>
      <w:r>
        <w:rPr>
          <w:vertAlign w:val="subscript"/>
        </w:rPr>
        <w:t>multi_SMTC,i</w:t>
      </w:r>
      <w:r>
        <w:t xml:space="preserve"> 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r>
        <w:rPr>
          <w:i/>
        </w:rPr>
        <w:t>i</w:t>
      </w:r>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pPr>
        <w:rPr>
          <w:rFonts w:cs="v4.2.0"/>
        </w:rPr>
      </w:pPr>
      <w:r>
        <w:rPr>
          <w:rFonts w:cs="v4.2.0"/>
        </w:rPr>
        <w:t xml:space="preserve">An inter-frequency cell is considered to be detectable </w:t>
      </w:r>
      <w:r>
        <w:t>according to the conditions defined in Annex B.1.7 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bookmarkStart w:id="6" w:name="_Hlk131188513"/>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 xml:space="preserve">if the UE does not support </w:t>
      </w:r>
      <w:ins w:id="41" w:author="ZTE Derrick meeting-pre" w:date="2024-11-07T16:16:42Z">
        <w:r>
          <w:rPr>
            <w:rFonts w:cs="v4.2.0"/>
            <w:i w:val="0"/>
            <w:iCs/>
            <w:highlight w:val="none"/>
          </w:rPr>
          <w:t>Enhanced RRM requirements for measurements in IDLE and INACTIVE modes</w:t>
        </w:r>
      </w:ins>
      <w:ins w:id="42" w:author="ZTE Derrick meeting-pre" w:date="2024-11-07T16:16:42Z">
        <w:r>
          <w:rPr>
            <w:rFonts w:cs="v4.2.0"/>
            <w:highlight w:val="none"/>
          </w:rPr>
          <w:t xml:space="preserve"> defined in </w:t>
        </w:r>
      </w:ins>
      <w:ins w:id="43" w:author="ZTE Derrick meeting-pre" w:date="2024-11-07T16:16:42Z">
        <w:r>
          <w:rPr>
            <w:highlight w:val="none"/>
          </w:rPr>
          <w:t>TS38.306 [14]</w:t>
        </w:r>
      </w:ins>
      <w:del w:id="44" w:author="ZTE Derrick meeting-pre" w:date="2024-11-07T16:16:42Z">
        <w:r>
          <w:rPr>
            <w:rFonts w:cs="v4.2.0"/>
          </w:rPr>
          <w:delText xml:space="preserve">the feature for enhanced RRM requirements defined in </w:delText>
        </w:r>
      </w:del>
      <w:del w:id="45" w:author="ZTE Derrick meeting-pre" w:date="2024-11-07T16:16:42Z">
        <w:r>
          <w:rPr/>
          <w:delText>TS38.306 [14]</w:delText>
        </w:r>
      </w:del>
      <w:r>
        <w:rPr>
          <w:rFonts w:cs="v4.2.0"/>
        </w:rPr>
        <w:t xml:space="preserve">  or if the </w:t>
      </w:r>
      <w:r>
        <w:rPr>
          <w:i/>
        </w:rPr>
        <w:t>enhancedMeasurementNGSO-r17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w:t>
      </w:r>
      <w:ins w:id="46" w:author="ZTE Derrick meeting-pre" w:date="2024-11-07T16:16:50Z">
        <w:r>
          <w:rPr>
            <w:rFonts w:cs="v4.2.0"/>
            <w:i w:val="0"/>
            <w:iCs/>
            <w:highlight w:val="none"/>
          </w:rPr>
          <w:t>Enhanced RRM requirements for measurements in IDLE and INACTIVE modes</w:t>
        </w:r>
      </w:ins>
      <w:ins w:id="47" w:author="ZTE Derrick meeting-pre" w:date="2024-11-07T16:16:50Z">
        <w:r>
          <w:rPr>
            <w:rFonts w:cs="v4.2.0"/>
            <w:highlight w:val="none"/>
          </w:rPr>
          <w:t xml:space="preserve"> defined in </w:t>
        </w:r>
      </w:ins>
      <w:ins w:id="48" w:author="ZTE Derrick meeting-pre" w:date="2024-11-07T16:16:50Z">
        <w:r>
          <w:rPr>
            <w:highlight w:val="none"/>
          </w:rPr>
          <w:t>TS38.306 [14]</w:t>
        </w:r>
      </w:ins>
      <w:del w:id="49" w:author="ZTE Derrick meeting-pre" w:date="2024-11-07T16:16:50Z">
        <w:r>
          <w:rPr>
            <w:rFonts w:cs="v4.2.0"/>
          </w:rPr>
          <w:delText xml:space="preserve">the feature for enhanced RRM requirements defined in </w:delText>
        </w:r>
      </w:del>
      <w:del w:id="50" w:author="ZTE Derrick meeting-pre" w:date="2024-11-07T16:16:50Z">
        <w:r>
          <w:rPr/>
          <w:delText>TS38.306 [14]</w:delText>
        </w:r>
      </w:del>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6"/>
    </w:p>
    <w:p>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w:t>
      </w:r>
      <w:ins w:id="51" w:author="ZTE Derrick meeting-pre" w:date="2024-11-07T16:17:10Z">
        <w:r>
          <w:rPr>
            <w:rFonts w:cs="v4.2.0"/>
            <w:i w:val="0"/>
            <w:iCs/>
            <w:highlight w:val="none"/>
          </w:rPr>
          <w:t>Enhanced RRM requirements for measurements in IDLE and INACTIVE modes</w:t>
        </w:r>
      </w:ins>
      <w:ins w:id="52" w:author="ZTE Derrick meeting-pre" w:date="2024-11-07T16:17:10Z">
        <w:r>
          <w:rPr>
            <w:rFonts w:cs="v4.2.0"/>
            <w:highlight w:val="none"/>
          </w:rPr>
          <w:t xml:space="preserve"> defined in </w:t>
        </w:r>
      </w:ins>
      <w:ins w:id="53" w:author="ZTE Derrick meeting-pre" w:date="2024-11-07T16:17:10Z">
        <w:r>
          <w:rPr>
            <w:highlight w:val="none"/>
          </w:rPr>
          <w:t>TS38.306 [14]</w:t>
        </w:r>
      </w:ins>
      <w:del w:id="54" w:author="ZTE Derrick meeting-pre" w:date="2024-11-07T16:17:10Z">
        <w:r>
          <w:rPr>
            <w:rFonts w:cs="v4.2.0"/>
          </w:rPr>
          <w:delText>[capability for enhanced requriements]</w:delText>
        </w:r>
      </w:del>
      <w:r>
        <w:rPr>
          <w:rFonts w:cs="v4.2.0"/>
        </w:rPr>
        <w:t xml:space="preserve"> or if the </w:t>
      </w:r>
      <w:ins w:id="55" w:author="ZTE Derrick meeting-pre" w:date="2024-11-07T16:17:23Z">
        <w:r>
          <w:rPr>
            <w:i/>
          </w:rPr>
          <w:t>enhancedMeasurementNGSO-r17</w:t>
        </w:r>
      </w:ins>
      <w:del w:id="56" w:author="ZTE Derrick meeting-pre" w:date="2024-11-07T16:17:23Z">
        <w:r>
          <w:rPr>
            <w:rFonts w:cs="v4.2.0"/>
          </w:rPr>
          <w:delText>[NW configuration for enhanced requirements]</w:delText>
        </w:r>
      </w:del>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if the UE supports</w:t>
      </w:r>
      <w:r>
        <w:rPr>
          <w:rFonts w:cs="v4.2.0"/>
          <w:i/>
          <w:iCs/>
        </w:rPr>
        <w:t xml:space="preserve"> </w:t>
      </w:r>
      <w:ins w:id="57" w:author="ZTE Derrick meeting-pre" w:date="2024-11-07T16:17:38Z">
        <w:r>
          <w:rPr>
            <w:rFonts w:cs="v4.2.0"/>
            <w:i w:val="0"/>
            <w:iCs w:val="0"/>
            <w:highlight w:val="none"/>
          </w:rPr>
          <w:t>Enhanced RRM requirements for measurements in IDLE and INACTIVE modes</w:t>
        </w:r>
      </w:ins>
      <w:ins w:id="58" w:author="ZTE Derrick meeting-pre" w:date="2024-11-07T16:17:38Z">
        <w:r>
          <w:rPr>
            <w:rFonts w:cs="v4.2.0"/>
            <w:highlight w:val="none"/>
          </w:rPr>
          <w:t xml:space="preserve"> defined in </w:t>
        </w:r>
      </w:ins>
      <w:ins w:id="59" w:author="ZTE Derrick meeting-pre" w:date="2024-11-07T16:17:38Z">
        <w:r>
          <w:rPr>
            <w:highlight w:val="none"/>
          </w:rPr>
          <w:t>TS38.306 [14]</w:t>
        </w:r>
      </w:ins>
      <w:del w:id="60" w:author="ZTE Derrick meeting-pre" w:date="2024-11-07T16:17:38Z">
        <w:r>
          <w:rPr>
            <w:rFonts w:cs="v4.2.0"/>
          </w:rPr>
          <w:delText xml:space="preserve">the feature for enhanced RRM requirements defined in </w:delText>
        </w:r>
      </w:del>
      <w:del w:id="61" w:author="ZTE Derrick meeting-pre" w:date="2024-11-07T16:17:38Z">
        <w:r>
          <w:rPr/>
          <w:delText>TS38.306 [14]</w:delText>
        </w:r>
      </w:del>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rPr>
        <w:tab/>
      </w:r>
      <w:r>
        <w:rPr>
          <w:rFonts w:cs="v4.2.0"/>
        </w:rPr>
        <w:t xml:space="preserve">when </w:t>
      </w:r>
      <w:r>
        <w:rPr>
          <w:i/>
        </w:rPr>
        <w:t>rangeToBestCell</w:t>
      </w:r>
      <w:r>
        <w:t xml:space="preserve"> is not configured:</w:t>
      </w:r>
    </w:p>
    <w:p>
      <w:pPr>
        <w:ind w:left="851" w:hanging="284"/>
      </w:pPr>
      <w:r>
        <w:t>-</w:t>
      </w:r>
      <w:r>
        <w:tab/>
      </w:r>
      <w:r>
        <w:t>the cell is at least [5]dB better ranked in FR1 or.</w:t>
      </w:r>
    </w:p>
    <w:p>
      <w:pPr>
        <w:ind w:left="851" w:hanging="284"/>
      </w:pPr>
      <w:r>
        <w:rPr>
          <w:rFonts w:cs="v4.2.0"/>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the cell is at least [5]dB better ranked in FR1 if the current serving cell is among them. or</w:t>
      </w:r>
    </w:p>
    <w:p>
      <w:pPr>
        <w:ind w:left="568" w:hanging="284"/>
      </w:pPr>
      <w:r>
        <w:t>-</w:t>
      </w:r>
      <w:r>
        <w:tab/>
      </w:r>
      <w:r>
        <w:t>[6]dB in FR1 for SS-RSRP reselections based on absolute priorities or</w:t>
      </w:r>
    </w:p>
    <w:p>
      <w:pPr>
        <w:ind w:left="568" w:hanging="284"/>
      </w:pPr>
      <w:r>
        <w:t>-</w:t>
      </w:r>
      <w:r>
        <w:tab/>
      </w:r>
      <w:r>
        <w:t>4]dB in FR1 for SS-RSRQ reselections based on absolute priorities.</w:t>
      </w:r>
    </w:p>
    <w:p>
      <w:r>
        <w:t>When evaluating cells for reselection, the SSB side conditions apply to both serving and inter-frequency cells.</w:t>
      </w:r>
    </w:p>
    <w:p>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ind w:left="1170" w:hanging="318"/>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ind w:left="1170" w:hanging="318"/>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105"/>
      </w:pPr>
      <w:r>
        <w:t>-</w:t>
      </w:r>
      <w:r>
        <w:tab/>
      </w:r>
      <w:r>
        <w:t>SMTC occasions configured for the inter-frequency carrier occur up to 1 ms before the start or up to 1 ms after the end of the SMTC occasions configured for the intra-frequency carrier, and</w:t>
      </w:r>
    </w:p>
    <w:p>
      <w:pPr>
        <w:pStyle w:val="105"/>
      </w:pPr>
      <w:r>
        <w:t>-</w:t>
      </w:r>
      <w:r>
        <w:tab/>
      </w:r>
      <w:r>
        <w:t>SMTC occasions configured for the intra-frequency carrier and for the inter-frequency carrier occur up to 1 ms before the start or up to 1 ms after the end of the paging occasion in TS38.304 [1].</w:t>
      </w:r>
    </w:p>
    <w:p/>
    <w:p>
      <w:pPr>
        <w:pStyle w:val="8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81"/>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8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061" w:type="pct"/>
            <w:tcBorders>
              <w:top w:val="single" w:color="auto" w:sz="4" w:space="0"/>
              <w:left w:val="single" w:color="auto" w:sz="4" w:space="0"/>
              <w:bottom w:val="single" w:color="auto" w:sz="4" w:space="0"/>
              <w:right w:val="single" w:color="auto" w:sz="4" w:space="0"/>
            </w:tcBorders>
          </w:tcPr>
          <w:p>
            <w:pPr>
              <w:pStyle w:val="81"/>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0.32</w:t>
            </w:r>
          </w:p>
        </w:tc>
        <w:tc>
          <w:tcPr>
            <w:tcW w:w="1" w:type="pct"/>
            <w:vMerge w:val="restart"/>
            <w:tcBorders>
              <w:top w:val="single" w:color="auto" w:sz="4" w:space="0"/>
              <w:left w:val="single" w:color="auto" w:sz="4" w:space="0"/>
              <w:right w:val="single" w:color="auto" w:sz="4" w:space="0"/>
            </w:tcBorders>
          </w:tcPr>
          <w:p>
            <w:pPr>
              <w:pStyle w:val="82"/>
            </w:pPr>
            <w:r>
              <w:t>1</w:t>
            </w:r>
          </w:p>
        </w:tc>
        <w:tc>
          <w:tcPr>
            <w:tcW w:w="1111" w:type="pct"/>
            <w:tcBorders>
              <w:top w:val="single" w:color="auto" w:sz="4" w:space="0"/>
              <w:left w:val="single" w:color="auto" w:sz="4" w:space="0"/>
              <w:bottom w:val="single" w:color="auto" w:sz="4" w:space="0"/>
              <w:right w:val="single" w:color="auto" w:sz="4" w:space="0"/>
            </w:tcBorders>
          </w:tcPr>
          <w:p>
            <w:pPr>
              <w:pStyle w:val="82"/>
            </w:pPr>
            <w:r>
              <w:t xml:space="preserve">11.52 x N1 </w:t>
            </w:r>
            <w:r>
              <w:rPr>
                <w:rFonts w:cs="Arial"/>
              </w:rPr>
              <w:t xml:space="preserve">x 1.5 </w:t>
            </w:r>
            <w:r>
              <w:t>(36 x N1</w:t>
            </w:r>
            <w:r>
              <w:rPr>
                <w:rFonts w:cs="Arial"/>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82"/>
            </w:pPr>
            <w:r>
              <w:t xml:space="preserve">1.28 x N1 </w:t>
            </w:r>
            <w:r>
              <w:rPr>
                <w:rFonts w:cs="Arial"/>
              </w:rPr>
              <w:t xml:space="preserve">x 1.5 </w:t>
            </w:r>
            <w:r>
              <w:t>(4 x N1</w:t>
            </w:r>
            <w:r>
              <w:rPr>
                <w:rFonts w:cs="Arial"/>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82"/>
            </w:pPr>
            <w:r>
              <w:t xml:space="preserve">5.12 x N1 </w:t>
            </w:r>
            <w:r>
              <w:rPr>
                <w:rFonts w:cs="Arial"/>
              </w:rPr>
              <w:t xml:space="preserve">x 1.5 </w:t>
            </w:r>
            <w:r>
              <w:t>(16 x N1</w:t>
            </w:r>
            <w:r>
              <w:rPr>
                <w:rFonts w:cs="Arial"/>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0.64</w:t>
            </w:r>
          </w:p>
        </w:tc>
        <w:tc>
          <w:tcPr>
            <w:tcW w:w="1061" w:type="pct"/>
            <w:vMerge w:val="continue"/>
            <w:tcBorders>
              <w:left w:val="single" w:color="auto" w:sz="4" w:space="0"/>
              <w:right w:val="single" w:color="auto" w:sz="4" w:space="0"/>
            </w:tcBorders>
          </w:tcPr>
          <w:p>
            <w:pPr>
              <w:pStyle w:val="82"/>
            </w:pPr>
          </w:p>
        </w:tc>
        <w:tc>
          <w:tcPr>
            <w:tcW w:w="1111" w:type="pct"/>
            <w:tcBorders>
              <w:top w:val="single" w:color="auto" w:sz="4" w:space="0"/>
              <w:left w:val="single" w:color="auto" w:sz="4" w:space="0"/>
              <w:bottom w:val="single" w:color="auto" w:sz="4" w:space="0"/>
              <w:right w:val="single" w:color="auto" w:sz="4" w:space="0"/>
            </w:tcBorders>
          </w:tcPr>
          <w:p>
            <w:pPr>
              <w:pStyle w:val="8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8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8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1.28</w:t>
            </w:r>
          </w:p>
        </w:tc>
        <w:tc>
          <w:tcPr>
            <w:tcW w:w="1061" w:type="pct"/>
            <w:vMerge w:val="continue"/>
            <w:tcBorders>
              <w:left w:val="single" w:color="auto" w:sz="4" w:space="0"/>
              <w:right w:val="single" w:color="auto" w:sz="4" w:space="0"/>
            </w:tcBorders>
          </w:tcPr>
          <w:p>
            <w:pPr>
              <w:pStyle w:val="82"/>
            </w:pPr>
          </w:p>
        </w:tc>
        <w:tc>
          <w:tcPr>
            <w:tcW w:w="1111" w:type="pct"/>
            <w:tcBorders>
              <w:top w:val="single" w:color="auto" w:sz="4" w:space="0"/>
              <w:left w:val="single" w:color="auto" w:sz="4" w:space="0"/>
              <w:bottom w:val="single" w:color="auto" w:sz="4" w:space="0"/>
              <w:right w:val="single" w:color="auto" w:sz="4" w:space="0"/>
            </w:tcBorders>
          </w:tcPr>
          <w:p>
            <w:pPr>
              <w:pStyle w:val="8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8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8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2.56</w:t>
            </w:r>
          </w:p>
        </w:tc>
        <w:tc>
          <w:tcPr>
            <w:tcW w:w="1061" w:type="pct"/>
            <w:vMerge w:val="continue"/>
            <w:tcBorders>
              <w:left w:val="single" w:color="auto" w:sz="4" w:space="0"/>
              <w:bottom w:val="single" w:color="auto" w:sz="4" w:space="0"/>
              <w:right w:val="single" w:color="auto" w:sz="4" w:space="0"/>
            </w:tcBorders>
          </w:tcPr>
          <w:p>
            <w:pPr>
              <w:pStyle w:val="82"/>
            </w:pPr>
          </w:p>
        </w:tc>
        <w:tc>
          <w:tcPr>
            <w:tcW w:w="1111" w:type="pct"/>
            <w:tcBorders>
              <w:top w:val="single" w:color="auto" w:sz="4" w:space="0"/>
              <w:left w:val="single" w:color="auto" w:sz="4" w:space="0"/>
              <w:bottom w:val="single" w:color="auto" w:sz="4" w:space="0"/>
              <w:right w:val="single" w:color="auto" w:sz="4" w:space="0"/>
            </w:tcBorders>
          </w:tcPr>
          <w:p>
            <w:pPr>
              <w:pStyle w:val="8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8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8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pPr>
            <w:r>
              <w:rPr>
                <w:snapToGrid w:val="0"/>
              </w:rPr>
              <w:t>Note 1</w:t>
            </w:r>
            <w:r>
              <w:t>:</w:t>
            </w:r>
            <w:r>
              <w:rPr>
                <w:lang w:val="en-US"/>
              </w:rPr>
              <w:tab/>
            </w:r>
            <w:r>
              <w:rPr>
                <w:szCs w:val="24"/>
              </w:rPr>
              <w:t>UE is not required to fulfil the requirements for 2.56s DRX cycle length for earth-moving LEO deployment</w:t>
            </w:r>
            <w:r>
              <w:t>.</w:t>
            </w:r>
          </w:p>
          <w:p>
            <w:pPr>
              <w:pStyle w:val="96"/>
            </w:pPr>
          </w:p>
        </w:tc>
      </w:tr>
    </w:tbl>
    <w:p/>
    <w:p>
      <w:pPr>
        <w:pStyle w:val="8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8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rPr>
            </w:pPr>
            <w:r>
              <w:t>Note 1:</w:t>
            </w:r>
            <w:r>
              <w:rPr>
                <w:rFonts w:eastAsia="CG Times (WN)"/>
                <w:lang w:val="en-US" w:eastAsia="zh-CN"/>
              </w:rPr>
              <w:tab/>
            </w:r>
            <w:r>
              <w:t>When SMTC &lt; = 40 ms, M2 = M3 = M4 = 1; and when SMTC &gt; 40 ms, M2 = 1.5, M3 = M4 = 2</w:t>
            </w:r>
          </w:p>
        </w:tc>
      </w:tr>
    </w:tbl>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rPr>
        <w:t xml:space="preserve"> </w:t>
      </w:r>
      <w: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N</w:t>
      </w:r>
      <w:r>
        <w:rPr>
          <w:szCs w:val="24"/>
          <w:vertAlign w:val="subscript"/>
        </w:rPr>
        <w:t>layer</w:t>
      </w:r>
      <w:r>
        <w:rPr>
          <w:szCs w:val="24"/>
        </w:rPr>
        <w:t>* [60s]) when serving cell is above the search threshold, where</w:t>
      </w:r>
    </w:p>
    <w:p>
      <w:pPr>
        <w:pStyle w:val="105"/>
      </w:pPr>
      <w:r>
        <w:t>-</w:t>
      </w:r>
      <w:r>
        <w:tab/>
      </w:r>
      <w:r>
        <w:t>K</w:t>
      </w:r>
      <w:r>
        <w:rPr>
          <w:vertAlign w:val="subscript"/>
        </w:rPr>
        <w:t>carrier</w:t>
      </w:r>
      <w:r>
        <w:t xml:space="preserve"> is the number of NR inter-frequency carriers indicated by the serving cell,</w:t>
      </w:r>
    </w:p>
    <w:p>
      <w:pPr>
        <w:pStyle w:val="105"/>
      </w:pPr>
      <w:r>
        <w:t>-</w:t>
      </w:r>
      <w:r>
        <w:tab/>
      </w:r>
      <w:r>
        <w:t>N</w:t>
      </w:r>
      <w:r>
        <w:rPr>
          <w:vertAlign w:val="subscript"/>
        </w:rPr>
        <w:t>layer</w:t>
      </w:r>
      <w:r>
        <w:t xml:space="preserve"> is the total number of higher priority NR carrier frequencies broadcasted in system information,</w:t>
      </w:r>
    </w:p>
    <w:p>
      <w:pPr>
        <w:pStyle w:val="105"/>
      </w:pPr>
      <w:r>
        <w:t>-</w:t>
      </w:r>
      <w:r>
        <w:tab/>
      </w:r>
      <w:r>
        <w:t>T</w:t>
      </w:r>
      <w:r>
        <w:rPr>
          <w:vertAlign w:val="subscript"/>
        </w:rPr>
        <w:t>detect,NR_Intra</w:t>
      </w:r>
      <w:r>
        <w:t xml:space="preserve"> </w:t>
      </w:r>
      <w:r>
        <w:rPr>
          <w:rFonts w:hint="eastAsia"/>
        </w:rPr>
        <w:t>refers to</w:t>
      </w:r>
      <w:r>
        <w:t xml:space="preserve"> HST intra-frequency cell detection delay in IDLE/INACTIVE mode defined Table 4.2.2.3-2,</w:t>
      </w:r>
    </w:p>
    <w:p>
      <w:pPr>
        <w:pStyle w:val="105"/>
      </w:pPr>
      <w:r>
        <w:t>-</w:t>
      </w:r>
      <w:r>
        <w:tab/>
      </w:r>
      <w:r>
        <w:t>T</w:t>
      </w:r>
      <w:r>
        <w:rPr>
          <w:vertAlign w:val="subscript"/>
        </w:rPr>
        <w:t>detect,NR_Inter</w:t>
      </w:r>
      <w:r>
        <w:t xml:space="preserve"> </w:t>
      </w:r>
      <w:r>
        <w:rPr>
          <w:rFonts w:hint="eastAsia"/>
        </w:rPr>
        <w:t>refers to</w:t>
      </w:r>
      <w: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w:t>
      </w:r>
      <w:ins w:id="62" w:author="ZTE Derrick meeting-pre" w:date="2024-11-07T16:18:09Z">
        <w:r>
          <w:rPr>
            <w:i/>
          </w:rPr>
          <w:t>parallelSMTC-r17</w:t>
        </w:r>
      </w:ins>
      <w:del w:id="63" w:author="ZTE Derrick meeting-pre" w:date="2024-11-07T16:18:09Z">
        <w:r>
          <w:rPr/>
          <w:delText>[UE capability]</w:delText>
        </w:r>
      </w:del>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pPr>
        <w:rPr>
          <w:i/>
          <w:iCs/>
          <w:lang w:val="en-US"/>
        </w:rPr>
      </w:pPr>
      <w:r>
        <w:t>The requirements in this clause apply provided that SSB of neighbour cells are within the time shifted SMTC.</w:t>
      </w: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
      <w:pPr>
        <w:rPr>
          <w:rFonts w:hint="eastAsia" w:eastAsiaTheme="minorEastAsia"/>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043138"/>
    <w:rsid w:val="01752E77"/>
    <w:rsid w:val="017E53FF"/>
    <w:rsid w:val="03277B1F"/>
    <w:rsid w:val="038C185D"/>
    <w:rsid w:val="043D4FA5"/>
    <w:rsid w:val="053A7979"/>
    <w:rsid w:val="05701473"/>
    <w:rsid w:val="071E2777"/>
    <w:rsid w:val="07414214"/>
    <w:rsid w:val="07B87EC3"/>
    <w:rsid w:val="082132F5"/>
    <w:rsid w:val="08EA41E4"/>
    <w:rsid w:val="099730C7"/>
    <w:rsid w:val="09E12241"/>
    <w:rsid w:val="0A301292"/>
    <w:rsid w:val="0B16263E"/>
    <w:rsid w:val="0B762065"/>
    <w:rsid w:val="0BBB08A4"/>
    <w:rsid w:val="0BC14CD6"/>
    <w:rsid w:val="0C8175E4"/>
    <w:rsid w:val="0CCA246F"/>
    <w:rsid w:val="0E530769"/>
    <w:rsid w:val="10511251"/>
    <w:rsid w:val="111E3AFC"/>
    <w:rsid w:val="12F23D8C"/>
    <w:rsid w:val="13F418A7"/>
    <w:rsid w:val="148A2BC0"/>
    <w:rsid w:val="14A53130"/>
    <w:rsid w:val="15EA2872"/>
    <w:rsid w:val="15ED6243"/>
    <w:rsid w:val="16845465"/>
    <w:rsid w:val="169E25A8"/>
    <w:rsid w:val="181872A0"/>
    <w:rsid w:val="18360931"/>
    <w:rsid w:val="19D46109"/>
    <w:rsid w:val="19E52087"/>
    <w:rsid w:val="1AA50B5C"/>
    <w:rsid w:val="1F16618C"/>
    <w:rsid w:val="20194AB6"/>
    <w:rsid w:val="20A4469A"/>
    <w:rsid w:val="20F2019E"/>
    <w:rsid w:val="21D438BD"/>
    <w:rsid w:val="221B2F81"/>
    <w:rsid w:val="231D2717"/>
    <w:rsid w:val="24A85728"/>
    <w:rsid w:val="24FA33BA"/>
    <w:rsid w:val="25392E9F"/>
    <w:rsid w:val="26873E45"/>
    <w:rsid w:val="26D47358"/>
    <w:rsid w:val="27724D2D"/>
    <w:rsid w:val="278866B7"/>
    <w:rsid w:val="28794497"/>
    <w:rsid w:val="28F82504"/>
    <w:rsid w:val="294957FA"/>
    <w:rsid w:val="2A7928C5"/>
    <w:rsid w:val="2AB80A15"/>
    <w:rsid w:val="2AE84CE7"/>
    <w:rsid w:val="2CDA475F"/>
    <w:rsid w:val="2D74780B"/>
    <w:rsid w:val="2DA354EC"/>
    <w:rsid w:val="2E4E30F0"/>
    <w:rsid w:val="2EFB3041"/>
    <w:rsid w:val="2FA82346"/>
    <w:rsid w:val="30435717"/>
    <w:rsid w:val="30470B79"/>
    <w:rsid w:val="306871A5"/>
    <w:rsid w:val="306F4706"/>
    <w:rsid w:val="31AE44E7"/>
    <w:rsid w:val="332B6F0F"/>
    <w:rsid w:val="339566B2"/>
    <w:rsid w:val="341911A0"/>
    <w:rsid w:val="34EF5387"/>
    <w:rsid w:val="3732209F"/>
    <w:rsid w:val="386556B9"/>
    <w:rsid w:val="386E56D8"/>
    <w:rsid w:val="38EF541D"/>
    <w:rsid w:val="3931168D"/>
    <w:rsid w:val="3BD308A8"/>
    <w:rsid w:val="3CEB2A01"/>
    <w:rsid w:val="3D890037"/>
    <w:rsid w:val="3F032416"/>
    <w:rsid w:val="3F476FDD"/>
    <w:rsid w:val="3FEB66EB"/>
    <w:rsid w:val="40A53E20"/>
    <w:rsid w:val="41C14222"/>
    <w:rsid w:val="439B66E0"/>
    <w:rsid w:val="451F6E1F"/>
    <w:rsid w:val="455378ED"/>
    <w:rsid w:val="46E42C34"/>
    <w:rsid w:val="48443123"/>
    <w:rsid w:val="48B0649E"/>
    <w:rsid w:val="48DC1118"/>
    <w:rsid w:val="496E701C"/>
    <w:rsid w:val="4BF50348"/>
    <w:rsid w:val="4C134676"/>
    <w:rsid w:val="4EB46B62"/>
    <w:rsid w:val="4EFD071B"/>
    <w:rsid w:val="4F09699E"/>
    <w:rsid w:val="4F212BF5"/>
    <w:rsid w:val="4FF27F05"/>
    <w:rsid w:val="520632A9"/>
    <w:rsid w:val="52D914E3"/>
    <w:rsid w:val="53250762"/>
    <w:rsid w:val="534955E2"/>
    <w:rsid w:val="53DD5AF1"/>
    <w:rsid w:val="547C2F28"/>
    <w:rsid w:val="54837097"/>
    <w:rsid w:val="54BF35FE"/>
    <w:rsid w:val="552F3F9F"/>
    <w:rsid w:val="56442820"/>
    <w:rsid w:val="575A28B8"/>
    <w:rsid w:val="57D153FE"/>
    <w:rsid w:val="58A21419"/>
    <w:rsid w:val="5BA34F02"/>
    <w:rsid w:val="5DB0630A"/>
    <w:rsid w:val="5DCB787D"/>
    <w:rsid w:val="5E2101D9"/>
    <w:rsid w:val="5EC74C4A"/>
    <w:rsid w:val="5F7971FD"/>
    <w:rsid w:val="605469BE"/>
    <w:rsid w:val="627428F4"/>
    <w:rsid w:val="62DF3642"/>
    <w:rsid w:val="6456421D"/>
    <w:rsid w:val="65D57584"/>
    <w:rsid w:val="679E6ED6"/>
    <w:rsid w:val="68077F6E"/>
    <w:rsid w:val="6840014B"/>
    <w:rsid w:val="68471D45"/>
    <w:rsid w:val="68B718E6"/>
    <w:rsid w:val="6926728F"/>
    <w:rsid w:val="693A44DE"/>
    <w:rsid w:val="694C599F"/>
    <w:rsid w:val="69F82E6A"/>
    <w:rsid w:val="6A976F56"/>
    <w:rsid w:val="6AB37D1A"/>
    <w:rsid w:val="6ACB0013"/>
    <w:rsid w:val="6CFA642E"/>
    <w:rsid w:val="6D782E13"/>
    <w:rsid w:val="6D921AF2"/>
    <w:rsid w:val="6E0647DC"/>
    <w:rsid w:val="6E3D27EA"/>
    <w:rsid w:val="6ED02555"/>
    <w:rsid w:val="719B56EF"/>
    <w:rsid w:val="72BD44DD"/>
    <w:rsid w:val="731E391A"/>
    <w:rsid w:val="742D5A28"/>
    <w:rsid w:val="7492574D"/>
    <w:rsid w:val="76734034"/>
    <w:rsid w:val="775B39E2"/>
    <w:rsid w:val="781662C6"/>
    <w:rsid w:val="78250CB4"/>
    <w:rsid w:val="7B9778C6"/>
    <w:rsid w:val="7BA12DE1"/>
    <w:rsid w:val="7C34495E"/>
    <w:rsid w:val="7C87365F"/>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6</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2411-12-31T15:59:00Z</cp:lastPrinted>
  <dcterms:modified xsi:type="dcterms:W3CDTF">2024-11-22T13:04:57Z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2A42767DAD46411FAF8624AB4297FAE4</vt:lpwstr>
  </property>
</Properties>
</file>